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7B4" w:rsidRPr="00196DCA" w:rsidRDefault="00867F9F" w:rsidP="000347B4">
      <w:pPr>
        <w:pStyle w:val="Default"/>
        <w:rPr>
          <w:rFonts w:ascii="SimSun" w:eastAsia="SimSun" w:hAnsi="SimSun"/>
          <w:b/>
          <w:lang w:eastAsia="zh-HK"/>
        </w:rPr>
      </w:pPr>
      <w:r w:rsidRPr="00196DCA">
        <w:rPr>
          <w:rFonts w:ascii="SimSun" w:eastAsia="SimSun" w:hAnsi="SimSun"/>
          <w:b/>
          <w:lang w:eastAsia="zh-CN"/>
        </w:rPr>
        <w:t>[</w:t>
      </w:r>
      <w:r w:rsidRPr="00196DCA">
        <w:rPr>
          <w:rFonts w:ascii="SimSun" w:eastAsia="SimSun" w:hAnsi="SimSun" w:hint="eastAsia"/>
          <w:b/>
          <w:lang w:eastAsia="zh-CN"/>
        </w:rPr>
        <w:t>公司通告</w:t>
      </w:r>
      <w:r w:rsidRPr="00196DCA">
        <w:rPr>
          <w:rFonts w:ascii="SimSun" w:eastAsia="SimSun" w:hAnsi="SimSun"/>
          <w:b/>
          <w:lang w:eastAsia="zh-CN"/>
        </w:rPr>
        <w:t>]</w:t>
      </w:r>
      <w:r w:rsidRPr="00196DCA">
        <w:rPr>
          <w:rFonts w:ascii="SimSun" w:eastAsia="SimSun" w:hAnsi="SimSun" w:hint="eastAsia"/>
          <w:b/>
          <w:lang w:eastAsia="zh-CN"/>
        </w:rPr>
        <w:t>申万宏源</w:t>
      </w:r>
      <w:r w:rsidRPr="00867F9F">
        <w:rPr>
          <w:rFonts w:asciiTheme="minorEastAsia" w:eastAsia="DengXian" w:hAnsiTheme="minorEastAsia"/>
          <w:b/>
          <w:lang w:eastAsia="zh-CN"/>
        </w:rPr>
        <w:t>(</w:t>
      </w:r>
      <w:r w:rsidRPr="00196DCA">
        <w:rPr>
          <w:rFonts w:ascii="SimSun" w:eastAsia="SimSun" w:hAnsi="SimSun" w:hint="eastAsia"/>
          <w:b/>
          <w:lang w:eastAsia="zh-CN"/>
        </w:rPr>
        <w:t>香港</w:t>
      </w:r>
      <w:r w:rsidRPr="00867F9F">
        <w:rPr>
          <w:rFonts w:asciiTheme="minorEastAsia" w:eastAsia="DengXian" w:hAnsiTheme="minorEastAsia"/>
          <w:b/>
          <w:lang w:eastAsia="zh-CN"/>
        </w:rPr>
        <w:t>)</w:t>
      </w:r>
      <w:r w:rsidRPr="00196DCA">
        <w:rPr>
          <w:rFonts w:ascii="SimSun" w:eastAsia="SimSun" w:hAnsi="SimSun" w:hint="eastAsia"/>
          <w:b/>
          <w:lang w:eastAsia="zh-CN"/>
        </w:rPr>
        <w:t>有限公司</w:t>
      </w:r>
      <w:r w:rsidRPr="00867F9F">
        <w:rPr>
          <w:rFonts w:asciiTheme="minorEastAsia" w:eastAsia="DengXian" w:hAnsiTheme="minorEastAsia"/>
          <w:b/>
          <w:lang w:eastAsia="zh-CN"/>
        </w:rPr>
        <w:t>(0218.HK)</w:t>
      </w:r>
      <w:r w:rsidRPr="00196DCA">
        <w:rPr>
          <w:rFonts w:ascii="SimSun" w:eastAsia="SimSun" w:hAnsi="SimSun" w:hint="eastAsia"/>
          <w:b/>
          <w:lang w:eastAsia="zh-CN"/>
        </w:rPr>
        <w:t>发布</w:t>
      </w:r>
      <w:r w:rsidRPr="00196DCA">
        <w:rPr>
          <w:rFonts w:ascii="SimSun" w:eastAsia="SimSun" w:hAnsi="SimSun"/>
          <w:b/>
          <w:lang w:eastAsia="zh-CN"/>
        </w:rPr>
        <w:t>2019</w:t>
      </w:r>
      <w:r w:rsidRPr="00196DCA">
        <w:rPr>
          <w:rFonts w:ascii="SimSun" w:eastAsia="SimSun" w:hAnsi="SimSun" w:hint="eastAsia"/>
          <w:b/>
          <w:lang w:eastAsia="zh-CN"/>
        </w:rPr>
        <w:t>年全年盈喜</w:t>
      </w:r>
    </w:p>
    <w:p w:rsidR="000347B4" w:rsidRPr="000347B4" w:rsidRDefault="000347B4" w:rsidP="000347B4">
      <w:pPr>
        <w:pStyle w:val="Default"/>
        <w:rPr>
          <w:rFonts w:ascii="SimSun" w:eastAsia="SimSun" w:hAnsi="SimSun"/>
        </w:rPr>
      </w:pPr>
    </w:p>
    <w:p w:rsidR="000347B4" w:rsidRDefault="00867F9F" w:rsidP="000347B4">
      <w:pPr>
        <w:pStyle w:val="Default"/>
        <w:rPr>
          <w:rFonts w:ascii="SimSun" w:eastAsiaTheme="minorEastAsia" w:hAnsi="SimSun"/>
        </w:rPr>
      </w:pPr>
      <w:r w:rsidRPr="000347B4">
        <w:rPr>
          <w:rFonts w:ascii="SimSun" w:eastAsia="SimSun" w:hAnsi="SimSun" w:hint="eastAsia"/>
          <w:lang w:eastAsia="zh-CN"/>
        </w:rPr>
        <w:t>申万宏源</w:t>
      </w:r>
      <w:r w:rsidRPr="00867F9F">
        <w:rPr>
          <w:rFonts w:asciiTheme="minorEastAsia" w:eastAsia="DengXian" w:hAnsiTheme="minorEastAsia"/>
          <w:lang w:eastAsia="zh-CN"/>
        </w:rPr>
        <w:t>(</w:t>
      </w:r>
      <w:r w:rsidRPr="000347B4">
        <w:rPr>
          <w:rFonts w:ascii="SimSun" w:eastAsia="SimSun" w:hAnsi="SimSun" w:hint="eastAsia"/>
          <w:lang w:eastAsia="zh-CN"/>
        </w:rPr>
        <w:t>香港</w:t>
      </w:r>
      <w:r w:rsidRPr="00867F9F">
        <w:rPr>
          <w:rFonts w:asciiTheme="minorEastAsia" w:eastAsia="DengXian" w:hAnsiTheme="minorEastAsia"/>
          <w:lang w:eastAsia="zh-CN"/>
        </w:rPr>
        <w:t>)</w:t>
      </w:r>
      <w:r w:rsidRPr="000347B4">
        <w:rPr>
          <w:rFonts w:ascii="SimSun" w:eastAsia="SimSun" w:hAnsi="SimSun" w:hint="eastAsia"/>
          <w:lang w:eastAsia="zh-CN"/>
        </w:rPr>
        <w:t>有限公司（「</w:t>
      </w:r>
      <w:bookmarkStart w:id="0" w:name="_GoBack"/>
      <w:bookmarkEnd w:id="0"/>
      <w:r w:rsidRPr="000347B4">
        <w:rPr>
          <w:rFonts w:ascii="SimSun" w:eastAsia="SimSun" w:hAnsi="SimSun" w:hint="eastAsia"/>
          <w:lang w:eastAsia="zh-CN"/>
        </w:rPr>
        <w:t>本公司」，连同其附属公司统称「本集团」）董事局（「董事局」）谨此知会本公司股东（「股东」）及潜在投资者，基于对本集团截至二零一九年十二月三十一日止年度的未经审核管理账目所作的初步审阅，本集团预期截至二零一九年十二月三十一日止年度的未经审核综合除税后溢利与二零一八年同比增长约</w:t>
      </w:r>
      <w:r w:rsidRPr="000347B4">
        <w:rPr>
          <w:rFonts w:ascii="SimSun" w:eastAsia="SimSun" w:hAnsi="SimSun" w:cs="Times New Roman"/>
          <w:lang w:eastAsia="zh-CN"/>
        </w:rPr>
        <w:t>40%</w:t>
      </w:r>
      <w:r w:rsidRPr="000347B4">
        <w:rPr>
          <w:rFonts w:ascii="SimSun" w:eastAsia="SimSun" w:hAnsi="SimSun" w:hint="eastAsia"/>
          <w:lang w:eastAsia="zh-CN"/>
        </w:rPr>
        <w:t>。该预期增长主要来自本集团于二零一九财政年度期间部分主要业务</w:t>
      </w:r>
      <w:r w:rsidRPr="000347B4">
        <w:rPr>
          <w:rFonts w:ascii="SimSun" w:eastAsia="SimSun" w:hAnsi="SimSun" w:cs="Times New Roman"/>
          <w:lang w:eastAsia="zh-CN"/>
        </w:rPr>
        <w:t xml:space="preserve">, </w:t>
      </w:r>
      <w:r w:rsidRPr="000347B4">
        <w:rPr>
          <w:rFonts w:ascii="SimSun" w:eastAsia="SimSun" w:hAnsi="SimSun" w:hint="eastAsia"/>
          <w:lang w:eastAsia="zh-CN"/>
        </w:rPr>
        <w:t>包括企业金融、机构服务及交易业务之收益有显著增长。</w:t>
      </w:r>
    </w:p>
    <w:p w:rsidR="00E341F3" w:rsidRPr="00E341F3" w:rsidRDefault="00E341F3" w:rsidP="000347B4">
      <w:pPr>
        <w:pStyle w:val="Default"/>
        <w:rPr>
          <w:rFonts w:ascii="SimSun" w:eastAsiaTheme="minorEastAsia" w:hAnsi="SimSun"/>
        </w:rPr>
      </w:pPr>
    </w:p>
    <w:p w:rsidR="00E341F3" w:rsidRDefault="00867F9F" w:rsidP="000347B4">
      <w:pPr>
        <w:pStyle w:val="Default"/>
        <w:rPr>
          <w:rFonts w:ascii="SimSun" w:eastAsiaTheme="minorEastAsia" w:hAnsi="SimSun"/>
        </w:rPr>
      </w:pPr>
      <w:r w:rsidRPr="000347B4">
        <w:rPr>
          <w:rFonts w:ascii="SimSun" w:eastAsia="SimSun" w:hAnsi="SimSun" w:hint="eastAsia"/>
          <w:lang w:eastAsia="zh-CN"/>
        </w:rPr>
        <w:t>本</w:t>
      </w:r>
      <w:r w:rsidRPr="00A17515">
        <w:rPr>
          <w:rFonts w:ascii="SimSun" w:eastAsia="SimSun" w:hAnsi="SimSun" w:hint="eastAsia"/>
          <w:lang w:eastAsia="zh-CN"/>
        </w:rPr>
        <w:t>推文</w:t>
      </w:r>
      <w:r w:rsidRPr="000347B4">
        <w:rPr>
          <w:rFonts w:ascii="SimSun" w:eastAsia="SimSun" w:hAnsi="SimSun" w:hint="eastAsia"/>
          <w:lang w:eastAsia="zh-CN"/>
        </w:rPr>
        <w:t>所载资料仅根据本集团未经审核管理账目及董事局现时可获得的资料所作出之初步审阅，而并非根据本公司核数师审核或审阅之数据或数据而作出。具体财务数据将于本集团刊发截至二零一九年十二月三十一日止年度之全年业绩公告时披露。</w:t>
      </w:r>
    </w:p>
    <w:p w:rsidR="000347B4" w:rsidRPr="000347B4" w:rsidRDefault="000347B4" w:rsidP="000347B4">
      <w:pPr>
        <w:pStyle w:val="Default"/>
        <w:rPr>
          <w:rFonts w:ascii="SimSun" w:eastAsia="SimSun" w:hAnsi="SimSun"/>
        </w:rPr>
      </w:pPr>
      <w:r w:rsidRPr="000347B4">
        <w:rPr>
          <w:rFonts w:ascii="SimSun" w:eastAsia="SimSun" w:hAnsi="SimSun"/>
        </w:rPr>
        <w:t xml:space="preserve"> </w:t>
      </w:r>
    </w:p>
    <w:p w:rsidR="009476F6" w:rsidRDefault="00867F9F" w:rsidP="000347B4">
      <w:r w:rsidRPr="000347B4">
        <w:rPr>
          <w:rFonts w:ascii="SimSun" w:eastAsia="SimSun" w:hAnsi="SimSun" w:hint="eastAsia"/>
          <w:szCs w:val="24"/>
          <w:lang w:eastAsia="zh-CN"/>
        </w:rPr>
        <w:t>本公司股东及潜在投资者于买卖本公司证券时务请审慎行事。</w:t>
      </w:r>
    </w:p>
    <w:sectPr w:rsidR="009476F6" w:rsidSect="000347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515" w:rsidRDefault="00A17515" w:rsidP="00A17515">
      <w:r>
        <w:separator/>
      </w:r>
    </w:p>
  </w:endnote>
  <w:endnote w:type="continuationSeparator" w:id="0">
    <w:p w:rsidR="00A17515" w:rsidRDefault="00A17515" w:rsidP="00A1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 Ming Li U"/>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515" w:rsidRDefault="00A17515" w:rsidP="00A17515">
      <w:r>
        <w:separator/>
      </w:r>
    </w:p>
  </w:footnote>
  <w:footnote w:type="continuationSeparator" w:id="0">
    <w:p w:rsidR="00A17515" w:rsidRDefault="00A17515" w:rsidP="00A17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2A"/>
    <w:rsid w:val="000347B4"/>
    <w:rsid w:val="00196DCA"/>
    <w:rsid w:val="00867F9F"/>
    <w:rsid w:val="009476F6"/>
    <w:rsid w:val="00A17515"/>
    <w:rsid w:val="00E341F3"/>
    <w:rsid w:val="00F03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84772-9B80-4AE5-9661-4952F180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7B4"/>
    <w:pPr>
      <w:widowControl w:val="0"/>
      <w:autoSpaceDE w:val="0"/>
      <w:autoSpaceDN w:val="0"/>
      <w:adjustRightInd w:val="0"/>
    </w:pPr>
    <w:rPr>
      <w:rFonts w:ascii="新細明體" w:eastAsia="新細明體" w:cs="新細明體"/>
      <w:color w:val="000000"/>
      <w:kern w:val="0"/>
      <w:szCs w:val="24"/>
    </w:rPr>
  </w:style>
  <w:style w:type="paragraph" w:styleId="Header">
    <w:name w:val="header"/>
    <w:basedOn w:val="Normal"/>
    <w:link w:val="HeaderChar"/>
    <w:uiPriority w:val="99"/>
    <w:unhideWhenUsed/>
    <w:rsid w:val="00A1751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17515"/>
    <w:rPr>
      <w:sz w:val="20"/>
      <w:szCs w:val="20"/>
    </w:rPr>
  </w:style>
  <w:style w:type="paragraph" w:styleId="Footer">
    <w:name w:val="footer"/>
    <w:basedOn w:val="Normal"/>
    <w:link w:val="FooterChar"/>
    <w:uiPriority w:val="99"/>
    <w:unhideWhenUsed/>
    <w:rsid w:val="00A1751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175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3BBE-7B60-4B31-A663-355884D9E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Kao</dc:creator>
  <cp:keywords/>
  <dc:description/>
  <cp:lastModifiedBy>Stanley Kao</cp:lastModifiedBy>
  <cp:revision>7</cp:revision>
  <dcterms:created xsi:type="dcterms:W3CDTF">2020-01-21T00:27:00Z</dcterms:created>
  <dcterms:modified xsi:type="dcterms:W3CDTF">2020-01-21T00:57:00Z</dcterms:modified>
</cp:coreProperties>
</file>